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FF8CA" w14:textId="77777777" w:rsidR="006519C3" w:rsidRDefault="005F27C7" w:rsidP="00984EC1">
      <w:pPr>
        <w:pStyle w:val="BodyA"/>
        <w:spacing w:after="0" w:line="247" w:lineRule="auto"/>
        <w:rPr>
          <w:rFonts w:ascii="Times New Roman" w:eastAsia="Times New Roman" w:hAnsi="Times New Roman" w:cs="Times New Roman"/>
          <w:sz w:val="26"/>
          <w:szCs w:val="26"/>
        </w:rPr>
      </w:pPr>
      <w:r>
        <w:rPr>
          <w:rFonts w:ascii="Times New Roman"/>
          <w:sz w:val="26"/>
          <w:szCs w:val="26"/>
        </w:rPr>
        <w:t xml:space="preserve">Q1 Are you satisfied that the approach of the SPD with consideration to both national and local planning policy is the correct one? </w:t>
      </w:r>
    </w:p>
    <w:p w14:paraId="30485592" w14:textId="77777777" w:rsidR="006519C3" w:rsidRDefault="005F27C7" w:rsidP="00984EC1">
      <w:pPr>
        <w:pStyle w:val="BodyA"/>
        <w:spacing w:after="0" w:line="264" w:lineRule="auto"/>
        <w:ind w:right="225"/>
        <w:rPr>
          <w:rFonts w:ascii="Times New Roman" w:eastAsia="Times New Roman" w:hAnsi="Times New Roman" w:cs="Times New Roman"/>
          <w:sz w:val="24"/>
          <w:szCs w:val="24"/>
        </w:rPr>
      </w:pPr>
      <w:r>
        <w:rPr>
          <w:rFonts w:ascii="Times New Roman"/>
          <w:sz w:val="24"/>
          <w:szCs w:val="24"/>
        </w:rPr>
        <w:t xml:space="preserve">If no, please explain (please state paragraph reference when referring to the SPD): </w:t>
      </w:r>
    </w:p>
    <w:p w14:paraId="62078300" w14:textId="77777777" w:rsidR="006519C3" w:rsidRDefault="006519C3" w:rsidP="00984EC1">
      <w:pPr>
        <w:pStyle w:val="BodyA"/>
        <w:spacing w:after="0" w:line="264" w:lineRule="auto"/>
        <w:ind w:left="10" w:right="225" w:firstLine="710"/>
        <w:jc w:val="center"/>
        <w:rPr>
          <w:sz w:val="24"/>
          <w:szCs w:val="24"/>
        </w:rPr>
      </w:pPr>
    </w:p>
    <w:p w14:paraId="55398358" w14:textId="77777777" w:rsidR="006519C3" w:rsidRPr="006902F7" w:rsidRDefault="005F27C7">
      <w:pPr>
        <w:pStyle w:val="BodyA"/>
        <w:spacing w:after="0"/>
        <w:rPr>
          <w:color w:val="auto"/>
        </w:rPr>
      </w:pPr>
      <w:r w:rsidRPr="006902F7">
        <w:rPr>
          <w:color w:val="auto"/>
        </w:rPr>
        <w:t xml:space="preserve">The SPD does appear to broadly follow national and local planning policy, but could be improved by the following. </w:t>
      </w:r>
    </w:p>
    <w:p w14:paraId="1A70B9D6" w14:textId="77777777" w:rsidR="006519C3" w:rsidRPr="006902F7" w:rsidRDefault="005F27C7" w:rsidP="006902F7">
      <w:pPr>
        <w:pStyle w:val="ListParagraph"/>
        <w:numPr>
          <w:ilvl w:val="0"/>
          <w:numId w:val="32"/>
        </w:numPr>
        <w:spacing w:after="0"/>
        <w:rPr>
          <w:color w:val="auto"/>
        </w:rPr>
      </w:pPr>
      <w:r w:rsidRPr="006902F7">
        <w:rPr>
          <w:color w:val="auto"/>
        </w:rPr>
        <w:t xml:space="preserve">Commitment to be proactive in the planning process. The experience of HCLT has been that HCC has been proactive and helpful but it would good to include wording </w:t>
      </w:r>
      <w:proofErr w:type="gramStart"/>
      <w:r w:rsidRPr="006902F7">
        <w:rPr>
          <w:color w:val="auto"/>
        </w:rPr>
        <w:t>from  NPPF</w:t>
      </w:r>
      <w:proofErr w:type="gramEnd"/>
      <w:r w:rsidRPr="006902F7">
        <w:rPr>
          <w:color w:val="auto"/>
        </w:rPr>
        <w:t xml:space="preserve"> paragraph 41 on commitment to be proactive throughout the planning process.</w:t>
      </w:r>
    </w:p>
    <w:p w14:paraId="71960BAC" w14:textId="5E360111" w:rsidR="006519C3" w:rsidRPr="006902F7" w:rsidRDefault="005F27C7" w:rsidP="006902F7">
      <w:pPr>
        <w:pStyle w:val="ListParagraph"/>
        <w:numPr>
          <w:ilvl w:val="0"/>
          <w:numId w:val="32"/>
        </w:numPr>
        <w:spacing w:after="0"/>
        <w:rPr>
          <w:color w:val="auto"/>
        </w:rPr>
      </w:pPr>
      <w:r w:rsidRPr="006902F7">
        <w:rPr>
          <w:color w:val="auto"/>
        </w:rPr>
        <w:t>As evidence of this commitment, it would be helpful if there was a statement that supported affordable housing developments by providing free pre-planning guidance to RPs and CLTs for all developments, even where houses for market sale are included in the mix.</w:t>
      </w:r>
    </w:p>
    <w:p w14:paraId="244AC9E2" w14:textId="13964815" w:rsidR="006519C3" w:rsidRPr="00984EC1" w:rsidRDefault="005F27C7" w:rsidP="006902F7">
      <w:pPr>
        <w:pStyle w:val="ListParagraph"/>
        <w:numPr>
          <w:ilvl w:val="0"/>
          <w:numId w:val="32"/>
        </w:numPr>
        <w:spacing w:after="0"/>
        <w:rPr>
          <w:color w:val="auto"/>
        </w:rPr>
      </w:pPr>
      <w:r w:rsidRPr="00984EC1">
        <w:rPr>
          <w:color w:val="auto"/>
        </w:rPr>
        <w:t xml:space="preserve">The NPPF paragraph </w:t>
      </w:r>
      <w:proofErr w:type="gramStart"/>
      <w:r w:rsidRPr="00984EC1">
        <w:rPr>
          <w:color w:val="auto"/>
        </w:rPr>
        <w:t>68  states</w:t>
      </w:r>
      <w:proofErr w:type="gramEnd"/>
      <w:r w:rsidRPr="00984EC1">
        <w:rPr>
          <w:color w:val="auto"/>
        </w:rPr>
        <w:t xml:space="preserve"> that councils should identify sites of less than a hectare for 10% of the housing needs. Mention of this should be included in the </w:t>
      </w:r>
      <w:r w:rsidR="006902F7" w:rsidRPr="00984EC1">
        <w:rPr>
          <w:color w:val="auto"/>
        </w:rPr>
        <w:t>SPD</w:t>
      </w:r>
      <w:r w:rsidRPr="00984EC1">
        <w:rPr>
          <w:color w:val="auto"/>
        </w:rPr>
        <w:t xml:space="preserve"> with information as to where that information can be accessed</w:t>
      </w:r>
      <w:r w:rsidRPr="00984EC1">
        <w:rPr>
          <w:rFonts w:ascii="Trebuchet MS"/>
          <w:color w:val="auto"/>
        </w:rPr>
        <w:t xml:space="preserve">. </w:t>
      </w:r>
    </w:p>
    <w:p w14:paraId="559648B1" w14:textId="4FC1C9B9" w:rsidR="006519C3" w:rsidRPr="00984EC1" w:rsidRDefault="007D5ED9" w:rsidP="00984EC1">
      <w:pPr>
        <w:pStyle w:val="ListParagraph"/>
        <w:numPr>
          <w:ilvl w:val="0"/>
          <w:numId w:val="32"/>
        </w:numPr>
        <w:spacing w:after="0"/>
        <w:ind w:left="822"/>
        <w:rPr>
          <w:color w:val="auto"/>
          <w:u w:color="9CC2E5"/>
        </w:rPr>
      </w:pPr>
      <w:r w:rsidRPr="00984EC1">
        <w:rPr>
          <w:color w:val="auto"/>
        </w:rPr>
        <w:t xml:space="preserve">3.13 While it is understood that HCC has limited scope for exceeding national standards, we are strongly in </w:t>
      </w:r>
      <w:proofErr w:type="spellStart"/>
      <w:r w:rsidRPr="00984EC1">
        <w:rPr>
          <w:color w:val="auto"/>
        </w:rPr>
        <w:t>favour</w:t>
      </w:r>
      <w:proofErr w:type="spellEnd"/>
      <w:r w:rsidRPr="00984EC1">
        <w:rPr>
          <w:color w:val="auto"/>
        </w:rPr>
        <w:t xml:space="preserve"> of higher standards in build quality, carbon reduction, environmental protection and presumption towards lower car usage at all developments across the County.</w:t>
      </w:r>
    </w:p>
    <w:p w14:paraId="58649FB0" w14:textId="77777777" w:rsidR="00984EC1" w:rsidRPr="00984EC1" w:rsidRDefault="00984EC1" w:rsidP="00984EC1">
      <w:pPr>
        <w:pStyle w:val="ListParagraph"/>
        <w:spacing w:after="0"/>
        <w:ind w:left="822"/>
        <w:rPr>
          <w:color w:val="auto"/>
          <w:u w:color="9CC2E5"/>
        </w:rPr>
      </w:pPr>
    </w:p>
    <w:p w14:paraId="016F89B8" w14:textId="77777777" w:rsidR="006519C3" w:rsidRDefault="005F27C7" w:rsidP="00984EC1">
      <w:pPr>
        <w:pStyle w:val="BodyA"/>
        <w:spacing w:after="0" w:line="247" w:lineRule="auto"/>
        <w:rPr>
          <w:rFonts w:ascii="Times New Roman" w:eastAsia="Times New Roman" w:hAnsi="Times New Roman" w:cs="Times New Roman"/>
          <w:sz w:val="26"/>
          <w:szCs w:val="26"/>
        </w:rPr>
      </w:pPr>
      <w:r>
        <w:rPr>
          <w:rFonts w:ascii="Times New Roman"/>
          <w:sz w:val="26"/>
          <w:szCs w:val="26"/>
        </w:rPr>
        <w:t xml:space="preserve">Q2 Do you agree with the approach to understanding affordable housing need in Herefordshire, and are they accurately represented in the SPD? </w:t>
      </w:r>
    </w:p>
    <w:p w14:paraId="2F02FC09" w14:textId="77777777" w:rsidR="006519C3" w:rsidRDefault="005F27C7" w:rsidP="00984EC1">
      <w:pPr>
        <w:pStyle w:val="BodyA"/>
        <w:spacing w:after="0" w:line="264" w:lineRule="auto"/>
        <w:ind w:left="10" w:right="225"/>
        <w:rPr>
          <w:rFonts w:ascii="Times New Roman" w:eastAsia="Times New Roman" w:hAnsi="Times New Roman" w:cs="Times New Roman"/>
          <w:sz w:val="26"/>
          <w:szCs w:val="26"/>
        </w:rPr>
      </w:pPr>
      <w:r>
        <w:rPr>
          <w:rFonts w:ascii="Times New Roman"/>
          <w:sz w:val="26"/>
          <w:szCs w:val="26"/>
        </w:rPr>
        <w:t xml:space="preserve">If no, please explain (please state paragraph reference when referring to the SPD): </w:t>
      </w:r>
    </w:p>
    <w:p w14:paraId="208BB4D9" w14:textId="77777777" w:rsidR="006519C3" w:rsidRDefault="006519C3" w:rsidP="00984EC1">
      <w:pPr>
        <w:pStyle w:val="BodyA"/>
        <w:spacing w:after="0" w:line="264" w:lineRule="auto"/>
        <w:ind w:left="10" w:right="225"/>
        <w:rPr>
          <w:rFonts w:ascii="Times New Roman" w:eastAsia="Times New Roman" w:hAnsi="Times New Roman" w:cs="Times New Roman"/>
          <w:sz w:val="26"/>
          <w:szCs w:val="26"/>
        </w:rPr>
      </w:pPr>
    </w:p>
    <w:p w14:paraId="2AA5A411" w14:textId="08FF4FB0" w:rsidR="006519C3" w:rsidRPr="006902F7" w:rsidRDefault="005F27C7" w:rsidP="00FB3922">
      <w:pPr>
        <w:pStyle w:val="BodyA"/>
        <w:numPr>
          <w:ilvl w:val="0"/>
          <w:numId w:val="31"/>
        </w:numPr>
        <w:spacing w:after="0"/>
        <w:rPr>
          <w:color w:val="auto"/>
        </w:rPr>
      </w:pPr>
      <w:r w:rsidRPr="006902F7">
        <w:rPr>
          <w:color w:val="auto"/>
        </w:rPr>
        <w:t>S</w:t>
      </w:r>
      <w:r w:rsidR="006902F7" w:rsidRPr="006902F7">
        <w:rPr>
          <w:color w:val="auto"/>
        </w:rPr>
        <w:t>PD</w:t>
      </w:r>
      <w:r w:rsidRPr="006902F7">
        <w:rPr>
          <w:color w:val="auto"/>
        </w:rPr>
        <w:t xml:space="preserve"> paragraph 2.1 mentions the HMANA 2020/21. It would be helpful to know the target date for publication and</w:t>
      </w:r>
      <w:r w:rsidR="00FB3922" w:rsidRPr="006902F7">
        <w:rPr>
          <w:color w:val="auto"/>
        </w:rPr>
        <w:t>,</w:t>
      </w:r>
      <w:r w:rsidRPr="006902F7">
        <w:rPr>
          <w:color w:val="auto"/>
        </w:rPr>
        <w:t xml:space="preserve"> if this is still 12 months away</w:t>
      </w:r>
      <w:r w:rsidR="00FB3922" w:rsidRPr="006902F7">
        <w:rPr>
          <w:color w:val="auto"/>
        </w:rPr>
        <w:t>, i</w:t>
      </w:r>
      <w:r w:rsidRPr="006902F7">
        <w:rPr>
          <w:color w:val="auto"/>
        </w:rPr>
        <w:t xml:space="preserve">t would also be helpful to </w:t>
      </w:r>
      <w:proofErr w:type="spellStart"/>
      <w:r w:rsidRPr="006902F7">
        <w:rPr>
          <w:color w:val="auto"/>
        </w:rPr>
        <w:t>publicise</w:t>
      </w:r>
      <w:proofErr w:type="spellEnd"/>
      <w:r w:rsidRPr="006902F7">
        <w:rPr>
          <w:color w:val="auto"/>
        </w:rPr>
        <w:t xml:space="preserve"> figures of housing demand as shown by Home Point bids, for both geographical area of demand and property size (</w:t>
      </w:r>
      <w:proofErr w:type="spellStart"/>
      <w:r w:rsidRPr="006902F7">
        <w:rPr>
          <w:color w:val="auto"/>
        </w:rPr>
        <w:t>nos</w:t>
      </w:r>
      <w:proofErr w:type="spellEnd"/>
      <w:r w:rsidRPr="006902F7">
        <w:rPr>
          <w:color w:val="auto"/>
        </w:rPr>
        <w:t xml:space="preserve"> of bedrooms and </w:t>
      </w:r>
      <w:proofErr w:type="spellStart"/>
      <w:r w:rsidRPr="006902F7">
        <w:rPr>
          <w:color w:val="auto"/>
        </w:rPr>
        <w:t>bedspaces</w:t>
      </w:r>
      <w:proofErr w:type="spellEnd"/>
      <w:r w:rsidRPr="006902F7">
        <w:rPr>
          <w:color w:val="auto"/>
        </w:rPr>
        <w:t xml:space="preserve">), </w:t>
      </w:r>
      <w:r w:rsidR="00FB3922" w:rsidRPr="006902F7">
        <w:rPr>
          <w:color w:val="auto"/>
        </w:rPr>
        <w:t xml:space="preserve">at regular intervals </w:t>
      </w:r>
      <w:r w:rsidRPr="006902F7">
        <w:rPr>
          <w:color w:val="auto"/>
        </w:rPr>
        <w:t xml:space="preserve">as this would provide information based on actual demand. </w:t>
      </w:r>
    </w:p>
    <w:p w14:paraId="720EE3B4" w14:textId="77777777" w:rsidR="00FB3922" w:rsidRPr="006902F7" w:rsidRDefault="00FB3922" w:rsidP="00FB3922">
      <w:pPr>
        <w:pStyle w:val="BodyA"/>
        <w:spacing w:after="0"/>
        <w:rPr>
          <w:color w:val="6EC038"/>
        </w:rPr>
      </w:pPr>
    </w:p>
    <w:p w14:paraId="09804B07" w14:textId="7FA5387B" w:rsidR="006519C3" w:rsidRPr="006902F7" w:rsidRDefault="006902F7" w:rsidP="00FB3922">
      <w:pPr>
        <w:pStyle w:val="BodyA"/>
        <w:numPr>
          <w:ilvl w:val="0"/>
          <w:numId w:val="31"/>
        </w:numPr>
        <w:spacing w:after="0"/>
      </w:pPr>
      <w:r w:rsidRPr="006902F7">
        <w:t>SPD</w:t>
      </w:r>
      <w:r w:rsidR="005F27C7" w:rsidRPr="006902F7">
        <w:t xml:space="preserve"> paragraph 2.9 refers to the Homes England Capital Funding Guide for calculating social rents, which uses as its base line earnings in Herefordshire and Worcestershire. This is inconsistent with Appendix 2.2 which uses Herefordshire earnings.</w:t>
      </w:r>
    </w:p>
    <w:p w14:paraId="19CAF701" w14:textId="77777777" w:rsidR="006519C3" w:rsidRPr="006902F7" w:rsidRDefault="006519C3">
      <w:pPr>
        <w:pStyle w:val="BodyA"/>
        <w:spacing w:after="0"/>
      </w:pPr>
    </w:p>
    <w:p w14:paraId="1A72A254" w14:textId="17B5CF61" w:rsidR="006519C3" w:rsidRDefault="005F27C7" w:rsidP="00FB3922">
      <w:pPr>
        <w:pStyle w:val="BodyA"/>
        <w:numPr>
          <w:ilvl w:val="0"/>
          <w:numId w:val="31"/>
        </w:numPr>
        <w:spacing w:after="0"/>
      </w:pPr>
      <w:r w:rsidRPr="006902F7">
        <w:t xml:space="preserve">In </w:t>
      </w:r>
      <w:r w:rsidR="006902F7" w:rsidRPr="006902F7">
        <w:t>SPD</w:t>
      </w:r>
      <w:r w:rsidRPr="006902F7">
        <w:t xml:space="preserve"> Appendix 3.1 reference is made to social rent calculation. To encourage building to high levels of energy efficiency, for example </w:t>
      </w:r>
      <w:proofErr w:type="spellStart"/>
      <w:r w:rsidRPr="006902F7">
        <w:t>PassivHaus</w:t>
      </w:r>
      <w:proofErr w:type="spellEnd"/>
      <w:r w:rsidRPr="006902F7">
        <w:t xml:space="preserve"> standards, allowance for reduced energy bills to tenants should be made in the rent calculation</w:t>
      </w:r>
      <w:r>
        <w:rPr>
          <w:rFonts w:ascii="Trebuchet MS"/>
        </w:rPr>
        <w:t xml:space="preserve">. </w:t>
      </w:r>
    </w:p>
    <w:p w14:paraId="3ACA3680" w14:textId="77777777" w:rsidR="006519C3" w:rsidRDefault="006519C3">
      <w:pPr>
        <w:pStyle w:val="BodyA"/>
        <w:spacing w:after="0"/>
        <w:ind w:left="822"/>
      </w:pPr>
    </w:p>
    <w:p w14:paraId="0C3F3CEB" w14:textId="77777777" w:rsidR="006519C3" w:rsidRDefault="005F27C7" w:rsidP="00984EC1">
      <w:pPr>
        <w:pStyle w:val="BodyA"/>
        <w:spacing w:after="0" w:line="247" w:lineRule="auto"/>
        <w:rPr>
          <w:rFonts w:ascii="Times New Roman" w:eastAsia="Times New Roman" w:hAnsi="Times New Roman" w:cs="Times New Roman"/>
          <w:sz w:val="26"/>
          <w:szCs w:val="26"/>
        </w:rPr>
      </w:pPr>
      <w:r>
        <w:rPr>
          <w:rFonts w:ascii="Times New Roman"/>
          <w:sz w:val="26"/>
          <w:szCs w:val="26"/>
        </w:rPr>
        <w:t xml:space="preserve">Q3 Do you agree with the overall approach as to how the policies are applied to ensure acceptable and appropriately planned affordable housing? </w:t>
      </w:r>
    </w:p>
    <w:p w14:paraId="7110BC17" w14:textId="2A7316A2" w:rsidR="006519C3" w:rsidRDefault="005F27C7" w:rsidP="00984EC1">
      <w:pPr>
        <w:pStyle w:val="BodyA"/>
        <w:spacing w:after="0" w:line="264" w:lineRule="auto"/>
        <w:ind w:left="10" w:right="225"/>
        <w:rPr>
          <w:rFonts w:ascii="Times New Roman"/>
          <w:sz w:val="26"/>
          <w:szCs w:val="26"/>
        </w:rPr>
      </w:pPr>
      <w:r>
        <w:rPr>
          <w:rFonts w:ascii="Times New Roman"/>
          <w:sz w:val="26"/>
          <w:szCs w:val="26"/>
        </w:rPr>
        <w:t xml:space="preserve">If no, please explain (please state paragraph reference when referring to the SPD): </w:t>
      </w:r>
    </w:p>
    <w:p w14:paraId="1C3805D1" w14:textId="77777777" w:rsidR="00984EC1" w:rsidRDefault="00984EC1" w:rsidP="00984EC1">
      <w:pPr>
        <w:pStyle w:val="BodyA"/>
        <w:spacing w:after="0" w:line="264" w:lineRule="auto"/>
        <w:ind w:left="10" w:right="225"/>
        <w:rPr>
          <w:rFonts w:ascii="Times New Roman" w:eastAsia="Times New Roman" w:hAnsi="Times New Roman" w:cs="Times New Roman"/>
          <w:sz w:val="26"/>
          <w:szCs w:val="26"/>
        </w:rPr>
      </w:pPr>
    </w:p>
    <w:p w14:paraId="2A0CAB74" w14:textId="6C5547E8" w:rsidR="006519C3" w:rsidRPr="006902F7" w:rsidRDefault="005F27C7">
      <w:pPr>
        <w:pStyle w:val="BodyA"/>
        <w:spacing w:after="0"/>
      </w:pPr>
      <w:r w:rsidRPr="006902F7">
        <w:t xml:space="preserve">There are a few differences between the NPPF and the </w:t>
      </w:r>
      <w:r w:rsidR="00FB3922" w:rsidRPr="006902F7">
        <w:t xml:space="preserve">SPD: </w:t>
      </w:r>
    </w:p>
    <w:p w14:paraId="431A4699" w14:textId="77777777" w:rsidR="006519C3" w:rsidRPr="006902F7" w:rsidRDefault="005F27C7">
      <w:pPr>
        <w:pStyle w:val="ListParagraph"/>
        <w:numPr>
          <w:ilvl w:val="0"/>
          <w:numId w:val="12"/>
        </w:numPr>
        <w:tabs>
          <w:tab w:val="num" w:pos="720"/>
        </w:tabs>
        <w:spacing w:after="0"/>
        <w:ind w:hanging="360"/>
        <w:rPr>
          <w:color w:val="auto"/>
        </w:rPr>
      </w:pPr>
      <w:r w:rsidRPr="006902F7">
        <w:rPr>
          <w:color w:val="auto"/>
        </w:rPr>
        <w:t xml:space="preserve">In Paragraph 63 of the NPPF there is mention of reducing the </w:t>
      </w:r>
      <w:proofErr w:type="gramStart"/>
      <w:r w:rsidRPr="006902F7">
        <w:rPr>
          <w:color w:val="auto"/>
        </w:rPr>
        <w:t>10 home</w:t>
      </w:r>
      <w:proofErr w:type="gramEnd"/>
      <w:r w:rsidRPr="006902F7">
        <w:rPr>
          <w:color w:val="auto"/>
        </w:rPr>
        <w:t xml:space="preserve"> threshold for affordable housing in rural areas to 5 homes, but no mention of this in the SPD. Perhaps this could be included provided there is a demonstrated local need for affordable homes.</w:t>
      </w:r>
    </w:p>
    <w:p w14:paraId="1825C8B1" w14:textId="77777777" w:rsidR="006519C3" w:rsidRPr="006902F7" w:rsidRDefault="005F27C7">
      <w:pPr>
        <w:pStyle w:val="ListParagraph"/>
        <w:numPr>
          <w:ilvl w:val="0"/>
          <w:numId w:val="15"/>
        </w:numPr>
        <w:tabs>
          <w:tab w:val="num" w:pos="720"/>
        </w:tabs>
        <w:spacing w:after="0"/>
        <w:ind w:hanging="360"/>
        <w:rPr>
          <w:color w:val="auto"/>
        </w:rPr>
      </w:pPr>
      <w:r w:rsidRPr="006902F7">
        <w:rPr>
          <w:color w:val="auto"/>
        </w:rPr>
        <w:t xml:space="preserve">In 3.24 of the SPD there is the option that the Council can commission its own Viability Assessment, which it seems goes beyond what the NPPF outlines. This is viewed positively and if the Viability </w:t>
      </w:r>
      <w:r w:rsidRPr="006902F7">
        <w:rPr>
          <w:color w:val="auto"/>
        </w:rPr>
        <w:lastRenderedPageBreak/>
        <w:t xml:space="preserve">Assessment, whether commissioned by the Developer or the Council, is then made available on the planning applications’ part of the council’s website, it would be an aid to transparency. </w:t>
      </w:r>
    </w:p>
    <w:p w14:paraId="5D6EBE3F" w14:textId="77777777" w:rsidR="006519C3" w:rsidRDefault="006519C3">
      <w:pPr>
        <w:pStyle w:val="BodyA"/>
        <w:spacing w:after="0"/>
        <w:ind w:left="822"/>
      </w:pPr>
    </w:p>
    <w:p w14:paraId="0542AB38" w14:textId="77777777" w:rsidR="006519C3" w:rsidRDefault="005F27C7">
      <w:pPr>
        <w:pStyle w:val="BodyA"/>
        <w:spacing w:after="12" w:line="247" w:lineRule="auto"/>
        <w:rPr>
          <w:rFonts w:ascii="Times New Roman" w:eastAsia="Times New Roman" w:hAnsi="Times New Roman" w:cs="Times New Roman"/>
          <w:sz w:val="26"/>
          <w:szCs w:val="26"/>
        </w:rPr>
      </w:pPr>
      <w:r>
        <w:rPr>
          <w:rFonts w:ascii="Times New Roman"/>
          <w:sz w:val="26"/>
          <w:szCs w:val="26"/>
        </w:rPr>
        <w:t>Q4 Finally, are there any further comments you would like to make that haven</w:t>
      </w:r>
      <w:r>
        <w:rPr>
          <w:rFonts w:hAnsi="Times New Roman"/>
          <w:sz w:val="26"/>
          <w:szCs w:val="26"/>
        </w:rPr>
        <w:t>’</w:t>
      </w:r>
      <w:r>
        <w:rPr>
          <w:rFonts w:ascii="Times New Roman"/>
          <w:sz w:val="26"/>
          <w:szCs w:val="26"/>
        </w:rPr>
        <w:t xml:space="preserve">t been covered answering the previous questions? (Please state paragraph reference when referring to the SPD) </w:t>
      </w:r>
    </w:p>
    <w:p w14:paraId="46958177" w14:textId="0559B1DA" w:rsidR="007D5ED9" w:rsidRPr="007D5ED9" w:rsidRDefault="007D5ED9" w:rsidP="007D5ED9">
      <w:pPr>
        <w:pStyle w:val="ListParagraph"/>
        <w:numPr>
          <w:ilvl w:val="0"/>
          <w:numId w:val="33"/>
        </w:numPr>
        <w:tabs>
          <w:tab w:val="num" w:pos="690"/>
          <w:tab w:val="num" w:pos="720"/>
        </w:tabs>
        <w:spacing w:before="100" w:after="100"/>
        <w:rPr>
          <w:color w:val="auto"/>
          <w:u w:color="9CC2E5"/>
        </w:rPr>
      </w:pPr>
      <w:r>
        <w:rPr>
          <w:color w:val="auto"/>
        </w:rPr>
        <w:t>In section 3 of the SPD, c</w:t>
      </w:r>
      <w:r w:rsidRPr="006902F7">
        <w:rPr>
          <w:color w:val="auto"/>
        </w:rPr>
        <w:t xml:space="preserve">onsideration should be made for a threshold of 10 houses or where houses are less than 100m2 floor area, consistent with Policy H1 </w:t>
      </w:r>
    </w:p>
    <w:p w14:paraId="0D97D8F6" w14:textId="35AA6217" w:rsidR="007D5ED9" w:rsidRPr="007D5ED9" w:rsidRDefault="007D5ED9" w:rsidP="007D5ED9">
      <w:pPr>
        <w:pStyle w:val="ListParagraph"/>
        <w:numPr>
          <w:ilvl w:val="0"/>
          <w:numId w:val="33"/>
        </w:numPr>
      </w:pPr>
      <w:r w:rsidRPr="007D5ED9">
        <w:t xml:space="preserve">SPD </w:t>
      </w:r>
      <w:r>
        <w:t xml:space="preserve">paragraph </w:t>
      </w:r>
      <w:r w:rsidRPr="007D5ED9">
        <w:t>3.2 Include incremental developments together with phased ones, i.e. those submitted under separate applications for adjacent or near adjacent sites where no overall or outline plan has been disclosed to the Council at the outset.</w:t>
      </w:r>
    </w:p>
    <w:p w14:paraId="45142597" w14:textId="0E432D7D" w:rsidR="007D5ED9" w:rsidRPr="006902F7" w:rsidRDefault="007D5ED9" w:rsidP="007D5ED9">
      <w:pPr>
        <w:pStyle w:val="ListParagraph"/>
        <w:numPr>
          <w:ilvl w:val="0"/>
          <w:numId w:val="33"/>
        </w:numPr>
        <w:tabs>
          <w:tab w:val="num" w:pos="690"/>
        </w:tabs>
        <w:spacing w:before="100" w:after="100"/>
        <w:rPr>
          <w:color w:val="auto"/>
        </w:rPr>
      </w:pPr>
      <w:r w:rsidRPr="006902F7">
        <w:rPr>
          <w:color w:val="auto"/>
        </w:rPr>
        <w:t xml:space="preserve">SPD paragraph 3.3. There is nothing about encouraging affordable housing as part of city </w:t>
      </w:r>
      <w:proofErr w:type="spellStart"/>
      <w:r w:rsidRPr="006902F7">
        <w:rPr>
          <w:color w:val="auto"/>
        </w:rPr>
        <w:t>centre</w:t>
      </w:r>
      <w:proofErr w:type="spellEnd"/>
      <w:r w:rsidRPr="006902F7">
        <w:rPr>
          <w:color w:val="auto"/>
        </w:rPr>
        <w:t xml:space="preserve"> conversions/adaptations. The NPPF paragraph 85 f is encouraging of residential development in city </w:t>
      </w:r>
      <w:proofErr w:type="spellStart"/>
      <w:r w:rsidRPr="006902F7">
        <w:rPr>
          <w:color w:val="auto"/>
        </w:rPr>
        <w:t>centres</w:t>
      </w:r>
      <w:proofErr w:type="spellEnd"/>
      <w:r w:rsidRPr="006902F7">
        <w:rPr>
          <w:color w:val="auto"/>
        </w:rPr>
        <w:t xml:space="preserve"> but the SPD seems to exclude conversions for affordable housing. It is recommended that this is revisited to encourage mixed tenure in commercial </w:t>
      </w:r>
      <w:proofErr w:type="spellStart"/>
      <w:r w:rsidRPr="006902F7">
        <w:rPr>
          <w:color w:val="auto"/>
        </w:rPr>
        <w:t>centres</w:t>
      </w:r>
      <w:proofErr w:type="spellEnd"/>
      <w:r w:rsidRPr="006902F7">
        <w:rPr>
          <w:color w:val="auto"/>
        </w:rPr>
        <w:t xml:space="preserve">, just as it is encouraged County wide.  </w:t>
      </w:r>
    </w:p>
    <w:p w14:paraId="41428BF1" w14:textId="77777777" w:rsidR="007D5ED9" w:rsidRPr="007D5ED9" w:rsidRDefault="007D5ED9" w:rsidP="007D5ED9">
      <w:pPr>
        <w:pStyle w:val="ListParagraph"/>
        <w:numPr>
          <w:ilvl w:val="0"/>
          <w:numId w:val="33"/>
        </w:numPr>
      </w:pPr>
      <w:r w:rsidRPr="007D5ED9">
        <w:t xml:space="preserve">SPD 3.4 Agree to the relief in respect of VBC where schemes are for retention, not for demolition. Schemes involving demolition and new build are already </w:t>
      </w:r>
      <w:proofErr w:type="spellStart"/>
      <w:r w:rsidRPr="007D5ED9">
        <w:t>incentivised</w:t>
      </w:r>
      <w:proofErr w:type="spellEnd"/>
      <w:r w:rsidRPr="007D5ED9">
        <w:t xml:space="preserve"> through VAT relief which does not apply to schemes involving retention and conversion.</w:t>
      </w:r>
    </w:p>
    <w:p w14:paraId="539BA9EE" w14:textId="7C0236DC" w:rsidR="007D5ED9" w:rsidRPr="007D5ED9" w:rsidRDefault="007D5ED9" w:rsidP="007D5ED9">
      <w:pPr>
        <w:pStyle w:val="ListParagraph"/>
        <w:numPr>
          <w:ilvl w:val="0"/>
          <w:numId w:val="33"/>
        </w:numPr>
      </w:pPr>
      <w:r w:rsidRPr="007D5ED9">
        <w:t>SPD 3.8 The commitment to percentages delivered as affordable in the scheme areas should be strengthened by replacing the words 'indicative target' with 'minimum target'.</w:t>
      </w:r>
    </w:p>
    <w:p w14:paraId="58D9AECC" w14:textId="26CC49AA" w:rsidR="007D5ED9" w:rsidRPr="007D5ED9" w:rsidRDefault="007D5ED9" w:rsidP="007D5ED9">
      <w:pPr>
        <w:pStyle w:val="ListParagraph"/>
        <w:numPr>
          <w:ilvl w:val="0"/>
          <w:numId w:val="33"/>
        </w:numPr>
      </w:pPr>
      <w:r w:rsidRPr="007D5ED9">
        <w:t xml:space="preserve">SPD 3.15 </w:t>
      </w:r>
      <w:proofErr w:type="gramStart"/>
      <w:r w:rsidRPr="007D5ED9">
        <w:t>Include  reference</w:t>
      </w:r>
      <w:proofErr w:type="gramEnd"/>
      <w:r w:rsidRPr="007D5ED9">
        <w:t xml:space="preserve"> to the Transport for New Homes model on layout and external space which designs out the dominance of the private car in all residential developments. It is particularly important for affordable housing to be provided with sustainable transport provision instead (active and public transport facilities) in view of the inherent unaffordability of running cars (as compared to walking and cycling).</w:t>
      </w:r>
      <w:r w:rsidR="00681F26">
        <w:t xml:space="preserve"> The recent Government announcement promoting cycling and walking could be incorporated in this section.</w:t>
      </w:r>
    </w:p>
    <w:p w14:paraId="0339A6AA" w14:textId="77777777" w:rsidR="007D5ED9" w:rsidRPr="006902F7" w:rsidRDefault="007D5ED9" w:rsidP="007D5ED9">
      <w:pPr>
        <w:pStyle w:val="ListParagraph"/>
        <w:numPr>
          <w:ilvl w:val="0"/>
          <w:numId w:val="33"/>
        </w:numPr>
        <w:tabs>
          <w:tab w:val="num" w:pos="690"/>
          <w:tab w:val="num" w:pos="720"/>
        </w:tabs>
        <w:spacing w:before="100" w:after="100"/>
        <w:rPr>
          <w:color w:val="auto"/>
          <w:u w:color="9CC2E5"/>
        </w:rPr>
      </w:pPr>
      <w:r w:rsidRPr="006902F7">
        <w:rPr>
          <w:color w:val="auto"/>
        </w:rPr>
        <w:t xml:space="preserve">SPD paragraph 3.17 states that where schemes are 100% affordable there should be a range of different types of buildings targeted at different householders. This could reduce the ability to develop small, difficult sites for affordable housing. </w:t>
      </w:r>
    </w:p>
    <w:p w14:paraId="55BB67E7" w14:textId="77777777" w:rsidR="007D5ED9" w:rsidRDefault="007D5ED9" w:rsidP="007D5ED9">
      <w:pPr>
        <w:pStyle w:val="ListParagraph"/>
        <w:numPr>
          <w:ilvl w:val="0"/>
          <w:numId w:val="33"/>
        </w:numPr>
        <w:tabs>
          <w:tab w:val="num" w:pos="690"/>
          <w:tab w:val="num" w:pos="720"/>
        </w:tabs>
        <w:spacing w:before="100" w:after="100"/>
        <w:rPr>
          <w:color w:val="auto"/>
          <w:u w:color="9CC2E5"/>
        </w:rPr>
      </w:pPr>
      <w:r w:rsidRPr="006902F7">
        <w:rPr>
          <w:color w:val="auto"/>
          <w:u w:color="9CC2E5"/>
        </w:rPr>
        <w:t>SPD paragraph 3.34 includes self-build and custom-build in both the affordable and market     sectors but this is not followed through in 3.35. It would be helpful to clarify that any self-build development can contain a mix of affordable and other homes.</w:t>
      </w:r>
    </w:p>
    <w:p w14:paraId="3CC0492F" w14:textId="6165C411" w:rsidR="007D5ED9" w:rsidRDefault="00FB3922" w:rsidP="00984EC1">
      <w:pPr>
        <w:pStyle w:val="ListParagraph"/>
        <w:numPr>
          <w:ilvl w:val="0"/>
          <w:numId w:val="33"/>
        </w:numPr>
        <w:tabs>
          <w:tab w:val="num" w:pos="720"/>
        </w:tabs>
        <w:rPr>
          <w:u w:color="9CC2E5"/>
        </w:rPr>
      </w:pPr>
      <w:r w:rsidRPr="006902F7">
        <w:rPr>
          <w:color w:val="auto"/>
        </w:rPr>
        <w:t>T</w:t>
      </w:r>
      <w:r w:rsidR="005F27C7" w:rsidRPr="006902F7">
        <w:rPr>
          <w:color w:val="auto"/>
        </w:rPr>
        <w:t>he only mention of Community Land Trusts is in SPD clause 3.35 in relation to self or custom build. CLTs should also be mentioned as partners in the delivery of affordable homes generally, and named CLTs perhaps included in the list of such partners in an Appendix 5b (</w:t>
      </w:r>
      <w:proofErr w:type="spellStart"/>
      <w:r w:rsidR="005F27C7" w:rsidRPr="006902F7">
        <w:rPr>
          <w:color w:val="auto"/>
        </w:rPr>
        <w:t>recognising</w:t>
      </w:r>
      <w:proofErr w:type="spellEnd"/>
      <w:r w:rsidR="005F27C7" w:rsidRPr="006902F7">
        <w:rPr>
          <w:color w:val="auto"/>
        </w:rPr>
        <w:t xml:space="preserve"> that no CLT has a </w:t>
      </w:r>
      <w:r w:rsidRPr="006902F7">
        <w:rPr>
          <w:color w:val="auto"/>
        </w:rPr>
        <w:t xml:space="preserve">current </w:t>
      </w:r>
      <w:r w:rsidR="005F27C7" w:rsidRPr="006902F7">
        <w:rPr>
          <w:color w:val="auto"/>
        </w:rPr>
        <w:t xml:space="preserve">development </w:t>
      </w:r>
      <w:proofErr w:type="spellStart"/>
      <w:r w:rsidR="005F27C7" w:rsidRPr="006902F7">
        <w:rPr>
          <w:color w:val="auto"/>
        </w:rPr>
        <w:t>programme</w:t>
      </w:r>
      <w:proofErr w:type="spellEnd"/>
      <w:r w:rsidR="005F27C7" w:rsidRPr="006902F7">
        <w:rPr>
          <w:color w:val="auto"/>
        </w:rPr>
        <w:t xml:space="preserve">). </w:t>
      </w:r>
    </w:p>
    <w:sectPr w:rsidR="007D5ED9" w:rsidSect="007D5ED9">
      <w:headerReference w:type="default" r:id="rId8"/>
      <w:footerReference w:type="default" r:id="rId9"/>
      <w:pgSz w:w="11900" w:h="16840"/>
      <w:pgMar w:top="1021" w:right="1021" w:bottom="1021" w:left="107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C3688" w14:textId="77777777" w:rsidR="00EA1561" w:rsidRDefault="00EA1561">
      <w:r>
        <w:separator/>
      </w:r>
    </w:p>
  </w:endnote>
  <w:endnote w:type="continuationSeparator" w:id="0">
    <w:p w14:paraId="6C29CFF1" w14:textId="77777777" w:rsidR="00EA1561" w:rsidRDefault="00EA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7189628"/>
      <w:docPartObj>
        <w:docPartGallery w:val="Page Numbers (Bottom of Page)"/>
        <w:docPartUnique/>
      </w:docPartObj>
    </w:sdtPr>
    <w:sdtEndPr>
      <w:rPr>
        <w:noProof/>
      </w:rPr>
    </w:sdtEndPr>
    <w:sdtContent>
      <w:p w14:paraId="4A45DEF2" w14:textId="508EB813" w:rsidR="00984EC1" w:rsidRDefault="00984EC1">
        <w:pPr>
          <w:pStyle w:val="Footer"/>
        </w:pPr>
        <w:r>
          <w:fldChar w:fldCharType="begin"/>
        </w:r>
        <w:r>
          <w:instrText xml:space="preserve"> PAGE   \* MERGEFORMAT </w:instrText>
        </w:r>
        <w:r>
          <w:fldChar w:fldCharType="separate"/>
        </w:r>
        <w:r>
          <w:rPr>
            <w:noProof/>
          </w:rPr>
          <w:t>2</w:t>
        </w:r>
        <w:r>
          <w:rPr>
            <w:noProof/>
          </w:rPr>
          <w:fldChar w:fldCharType="end"/>
        </w:r>
      </w:p>
    </w:sdtContent>
  </w:sdt>
  <w:p w14:paraId="356A63EC" w14:textId="77777777" w:rsidR="00984EC1" w:rsidRDefault="0098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DA477" w14:textId="77777777" w:rsidR="00EA1561" w:rsidRDefault="00EA1561">
      <w:r>
        <w:separator/>
      </w:r>
    </w:p>
  </w:footnote>
  <w:footnote w:type="continuationSeparator" w:id="0">
    <w:p w14:paraId="182FC9A0" w14:textId="77777777" w:rsidR="00EA1561" w:rsidRDefault="00EA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DB39B" w14:textId="53383A8E" w:rsidR="007D5ED9" w:rsidRDefault="007D5ED9">
    <w:pPr>
      <w:pStyle w:val="Header"/>
      <w:rPr>
        <w:rFonts w:ascii="Calibri" w:hAnsi="Calibri" w:cs="Calibri"/>
      </w:rPr>
    </w:pPr>
    <w:r w:rsidRPr="007D5ED9">
      <w:rPr>
        <w:rFonts w:ascii="Calibri" w:hAnsi="Calibri" w:cs="Calibri"/>
      </w:rPr>
      <w:t>Consultation on the Affordable Housing Supplementary Planning Document (SPD)</w:t>
    </w:r>
  </w:p>
  <w:p w14:paraId="2F2B3C1E" w14:textId="4A19B2B2" w:rsidR="007D5ED9" w:rsidRPr="007D5ED9" w:rsidRDefault="007D5ED9">
    <w:pPr>
      <w:pStyle w:val="Header"/>
      <w:rPr>
        <w:rFonts w:ascii="Calibri" w:hAnsi="Calibri" w:cs="Calibri"/>
      </w:rPr>
    </w:pPr>
    <w:r>
      <w:rPr>
        <w:rFonts w:ascii="Calibri" w:hAnsi="Calibri" w:cs="Calibri"/>
      </w:rPr>
      <w:t xml:space="preserve">HCLT response </w:t>
    </w:r>
  </w:p>
  <w:p w14:paraId="68EAFFE1" w14:textId="77777777" w:rsidR="006519C3" w:rsidRDefault="006519C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7DD3"/>
    <w:multiLevelType w:val="multilevel"/>
    <w:tmpl w:val="C580671A"/>
    <w:styleLink w:val="List0"/>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1" w15:restartNumberingAfterBreak="0">
    <w:nsid w:val="09AB0592"/>
    <w:multiLevelType w:val="multilevel"/>
    <w:tmpl w:val="C9AA2590"/>
    <w:lvl w:ilvl="0">
      <w:start w:val="1"/>
      <w:numFmt w:val="bullet"/>
      <w:lvlText w:val="•"/>
      <w:lvlJc w:val="left"/>
      <w:rPr>
        <w:color w:val="FF2C21"/>
        <w:position w:val="0"/>
      </w:rPr>
    </w:lvl>
    <w:lvl w:ilvl="1">
      <w:start w:val="1"/>
      <w:numFmt w:val="bullet"/>
      <w:lvlText w:val="o"/>
      <w:lvlJc w:val="left"/>
      <w:rPr>
        <w:color w:val="FF2C21"/>
        <w:position w:val="0"/>
      </w:rPr>
    </w:lvl>
    <w:lvl w:ilvl="2">
      <w:start w:val="1"/>
      <w:numFmt w:val="bullet"/>
      <w:lvlText w:val="▪"/>
      <w:lvlJc w:val="left"/>
      <w:rPr>
        <w:color w:val="FF2C21"/>
        <w:position w:val="0"/>
      </w:rPr>
    </w:lvl>
    <w:lvl w:ilvl="3">
      <w:start w:val="1"/>
      <w:numFmt w:val="bullet"/>
      <w:lvlText w:val="•"/>
      <w:lvlJc w:val="left"/>
      <w:rPr>
        <w:color w:val="FF2C21"/>
        <w:position w:val="0"/>
      </w:rPr>
    </w:lvl>
    <w:lvl w:ilvl="4">
      <w:start w:val="1"/>
      <w:numFmt w:val="bullet"/>
      <w:lvlText w:val="o"/>
      <w:lvlJc w:val="left"/>
      <w:rPr>
        <w:color w:val="FF2C21"/>
        <w:position w:val="0"/>
      </w:rPr>
    </w:lvl>
    <w:lvl w:ilvl="5">
      <w:start w:val="1"/>
      <w:numFmt w:val="bullet"/>
      <w:lvlText w:val="▪"/>
      <w:lvlJc w:val="left"/>
      <w:rPr>
        <w:color w:val="FF2C21"/>
        <w:position w:val="0"/>
      </w:rPr>
    </w:lvl>
    <w:lvl w:ilvl="6">
      <w:start w:val="1"/>
      <w:numFmt w:val="bullet"/>
      <w:lvlText w:val="•"/>
      <w:lvlJc w:val="left"/>
      <w:rPr>
        <w:color w:val="FF2C21"/>
        <w:position w:val="0"/>
      </w:rPr>
    </w:lvl>
    <w:lvl w:ilvl="7">
      <w:start w:val="1"/>
      <w:numFmt w:val="bullet"/>
      <w:lvlText w:val="o"/>
      <w:lvlJc w:val="left"/>
      <w:rPr>
        <w:color w:val="FF2C21"/>
        <w:position w:val="0"/>
      </w:rPr>
    </w:lvl>
    <w:lvl w:ilvl="8">
      <w:start w:val="1"/>
      <w:numFmt w:val="bullet"/>
      <w:lvlText w:val="▪"/>
      <w:lvlJc w:val="left"/>
      <w:rPr>
        <w:color w:val="FF2C21"/>
        <w:position w:val="0"/>
      </w:rPr>
    </w:lvl>
  </w:abstractNum>
  <w:abstractNum w:abstractNumId="2" w15:restartNumberingAfterBreak="0">
    <w:nsid w:val="0D6051B9"/>
    <w:multiLevelType w:val="multilevel"/>
    <w:tmpl w:val="EEC0FFC8"/>
    <w:styleLink w:val="List51"/>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3" w15:restartNumberingAfterBreak="0">
    <w:nsid w:val="134D1770"/>
    <w:multiLevelType w:val="multilevel"/>
    <w:tmpl w:val="CD4A22BC"/>
    <w:lvl w:ilvl="0">
      <w:start w:val="1"/>
      <w:numFmt w:val="bullet"/>
      <w:lvlText w:val="•"/>
      <w:lvlJc w:val="left"/>
      <w:rPr>
        <w:rFonts w:ascii="Trebuchet MS" w:eastAsia="Trebuchet MS" w:hAnsi="Trebuchet MS" w:cs="Trebuchet MS"/>
        <w:color w:val="FF2C21"/>
        <w:position w:val="0"/>
        <w:u w:color="000000"/>
        <w:rtl w:val="0"/>
      </w:rPr>
    </w:lvl>
    <w:lvl w:ilvl="1">
      <w:start w:val="1"/>
      <w:numFmt w:val="bullet"/>
      <w:lvlText w:val="o"/>
      <w:lvlJc w:val="left"/>
      <w:rPr>
        <w:rFonts w:ascii="Trebuchet MS" w:eastAsia="Trebuchet MS" w:hAnsi="Trebuchet MS" w:cs="Trebuchet MS"/>
        <w:color w:val="FF2C21"/>
        <w:position w:val="0"/>
        <w:u w:color="000000"/>
        <w:rtl w:val="0"/>
      </w:rPr>
    </w:lvl>
    <w:lvl w:ilvl="2">
      <w:start w:val="1"/>
      <w:numFmt w:val="bullet"/>
      <w:lvlText w:val="▪"/>
      <w:lvlJc w:val="left"/>
      <w:rPr>
        <w:rFonts w:ascii="Trebuchet MS" w:eastAsia="Trebuchet MS" w:hAnsi="Trebuchet MS" w:cs="Trebuchet MS"/>
        <w:color w:val="FF2C21"/>
        <w:position w:val="0"/>
        <w:u w:color="000000"/>
        <w:rtl w:val="0"/>
      </w:rPr>
    </w:lvl>
    <w:lvl w:ilvl="3">
      <w:start w:val="1"/>
      <w:numFmt w:val="bullet"/>
      <w:lvlText w:val="•"/>
      <w:lvlJc w:val="left"/>
      <w:rPr>
        <w:rFonts w:ascii="Trebuchet MS" w:eastAsia="Trebuchet MS" w:hAnsi="Trebuchet MS" w:cs="Trebuchet MS"/>
        <w:color w:val="FF2C21"/>
        <w:position w:val="0"/>
        <w:u w:color="000000"/>
        <w:rtl w:val="0"/>
      </w:rPr>
    </w:lvl>
    <w:lvl w:ilvl="4">
      <w:start w:val="1"/>
      <w:numFmt w:val="bullet"/>
      <w:lvlText w:val="o"/>
      <w:lvlJc w:val="left"/>
      <w:rPr>
        <w:rFonts w:ascii="Trebuchet MS" w:eastAsia="Trebuchet MS" w:hAnsi="Trebuchet MS" w:cs="Trebuchet MS"/>
        <w:color w:val="FF2C21"/>
        <w:position w:val="0"/>
        <w:u w:color="000000"/>
        <w:rtl w:val="0"/>
      </w:rPr>
    </w:lvl>
    <w:lvl w:ilvl="5">
      <w:start w:val="1"/>
      <w:numFmt w:val="bullet"/>
      <w:lvlText w:val="▪"/>
      <w:lvlJc w:val="left"/>
      <w:rPr>
        <w:rFonts w:ascii="Trebuchet MS" w:eastAsia="Trebuchet MS" w:hAnsi="Trebuchet MS" w:cs="Trebuchet MS"/>
        <w:color w:val="FF2C21"/>
        <w:position w:val="0"/>
        <w:u w:color="000000"/>
        <w:rtl w:val="0"/>
      </w:rPr>
    </w:lvl>
    <w:lvl w:ilvl="6">
      <w:start w:val="1"/>
      <w:numFmt w:val="bullet"/>
      <w:lvlText w:val="•"/>
      <w:lvlJc w:val="left"/>
      <w:rPr>
        <w:rFonts w:ascii="Trebuchet MS" w:eastAsia="Trebuchet MS" w:hAnsi="Trebuchet MS" w:cs="Trebuchet MS"/>
        <w:color w:val="FF2C21"/>
        <w:position w:val="0"/>
        <w:u w:color="000000"/>
        <w:rtl w:val="0"/>
      </w:rPr>
    </w:lvl>
    <w:lvl w:ilvl="7">
      <w:start w:val="1"/>
      <w:numFmt w:val="bullet"/>
      <w:lvlText w:val="o"/>
      <w:lvlJc w:val="left"/>
      <w:rPr>
        <w:rFonts w:ascii="Trebuchet MS" w:eastAsia="Trebuchet MS" w:hAnsi="Trebuchet MS" w:cs="Trebuchet MS"/>
        <w:color w:val="FF2C21"/>
        <w:position w:val="0"/>
        <w:u w:color="000000"/>
        <w:rtl w:val="0"/>
      </w:rPr>
    </w:lvl>
    <w:lvl w:ilvl="8">
      <w:start w:val="1"/>
      <w:numFmt w:val="bullet"/>
      <w:lvlText w:val="▪"/>
      <w:lvlJc w:val="left"/>
      <w:rPr>
        <w:rFonts w:ascii="Trebuchet MS" w:eastAsia="Trebuchet MS" w:hAnsi="Trebuchet MS" w:cs="Trebuchet MS"/>
        <w:color w:val="FF2C21"/>
        <w:position w:val="0"/>
        <w:u w:color="000000"/>
        <w:rtl w:val="0"/>
      </w:rPr>
    </w:lvl>
  </w:abstractNum>
  <w:abstractNum w:abstractNumId="4" w15:restartNumberingAfterBreak="0">
    <w:nsid w:val="16520259"/>
    <w:multiLevelType w:val="multilevel"/>
    <w:tmpl w:val="9AA0921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165F6D93"/>
    <w:multiLevelType w:val="hybridMultilevel"/>
    <w:tmpl w:val="BC90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6718"/>
    <w:multiLevelType w:val="multilevel"/>
    <w:tmpl w:val="927C3206"/>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7" w15:restartNumberingAfterBreak="0">
    <w:nsid w:val="1DB60450"/>
    <w:multiLevelType w:val="multilevel"/>
    <w:tmpl w:val="3ADC8C8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22B6572C"/>
    <w:multiLevelType w:val="multilevel"/>
    <w:tmpl w:val="F1EEDC1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273147C9"/>
    <w:multiLevelType w:val="multilevel"/>
    <w:tmpl w:val="3620E7B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2B3F4970"/>
    <w:multiLevelType w:val="multilevel"/>
    <w:tmpl w:val="4998D5E2"/>
    <w:styleLink w:val="List6"/>
    <w:lvl w:ilvl="0">
      <w:numFmt w:val="bullet"/>
      <w:lvlText w:val="•"/>
      <w:lvlJc w:val="left"/>
      <w:rPr>
        <w:rFonts w:ascii="Trebuchet MS" w:eastAsia="Trebuchet MS" w:hAnsi="Trebuchet MS" w:cs="Trebuchet MS"/>
        <w:color w:val="FF2C21"/>
        <w:position w:val="0"/>
        <w:u w:color="000000"/>
        <w:rtl w:val="0"/>
      </w:rPr>
    </w:lvl>
    <w:lvl w:ilvl="1">
      <w:start w:val="1"/>
      <w:numFmt w:val="bullet"/>
      <w:lvlText w:val="o"/>
      <w:lvlJc w:val="left"/>
      <w:rPr>
        <w:rFonts w:ascii="Trebuchet MS" w:eastAsia="Trebuchet MS" w:hAnsi="Trebuchet MS" w:cs="Trebuchet MS"/>
        <w:color w:val="FF2C21"/>
        <w:position w:val="0"/>
        <w:u w:color="000000"/>
        <w:rtl w:val="0"/>
      </w:rPr>
    </w:lvl>
    <w:lvl w:ilvl="2">
      <w:start w:val="1"/>
      <w:numFmt w:val="bullet"/>
      <w:lvlText w:val="▪"/>
      <w:lvlJc w:val="left"/>
      <w:rPr>
        <w:rFonts w:ascii="Trebuchet MS" w:eastAsia="Trebuchet MS" w:hAnsi="Trebuchet MS" w:cs="Trebuchet MS"/>
        <w:color w:val="FF2C21"/>
        <w:position w:val="0"/>
        <w:u w:color="000000"/>
        <w:rtl w:val="0"/>
      </w:rPr>
    </w:lvl>
    <w:lvl w:ilvl="3">
      <w:start w:val="1"/>
      <w:numFmt w:val="bullet"/>
      <w:lvlText w:val="•"/>
      <w:lvlJc w:val="left"/>
      <w:rPr>
        <w:rFonts w:ascii="Trebuchet MS" w:eastAsia="Trebuchet MS" w:hAnsi="Trebuchet MS" w:cs="Trebuchet MS"/>
        <w:color w:val="FF2C21"/>
        <w:position w:val="0"/>
        <w:u w:color="000000"/>
        <w:rtl w:val="0"/>
      </w:rPr>
    </w:lvl>
    <w:lvl w:ilvl="4">
      <w:start w:val="1"/>
      <w:numFmt w:val="bullet"/>
      <w:lvlText w:val="o"/>
      <w:lvlJc w:val="left"/>
      <w:rPr>
        <w:rFonts w:ascii="Trebuchet MS" w:eastAsia="Trebuchet MS" w:hAnsi="Trebuchet MS" w:cs="Trebuchet MS"/>
        <w:color w:val="FF2C21"/>
        <w:position w:val="0"/>
        <w:u w:color="000000"/>
        <w:rtl w:val="0"/>
      </w:rPr>
    </w:lvl>
    <w:lvl w:ilvl="5">
      <w:start w:val="1"/>
      <w:numFmt w:val="bullet"/>
      <w:lvlText w:val="▪"/>
      <w:lvlJc w:val="left"/>
      <w:rPr>
        <w:rFonts w:ascii="Trebuchet MS" w:eastAsia="Trebuchet MS" w:hAnsi="Trebuchet MS" w:cs="Trebuchet MS"/>
        <w:color w:val="FF2C21"/>
        <w:position w:val="0"/>
        <w:u w:color="000000"/>
        <w:rtl w:val="0"/>
      </w:rPr>
    </w:lvl>
    <w:lvl w:ilvl="6">
      <w:start w:val="1"/>
      <w:numFmt w:val="bullet"/>
      <w:lvlText w:val="•"/>
      <w:lvlJc w:val="left"/>
      <w:rPr>
        <w:rFonts w:ascii="Trebuchet MS" w:eastAsia="Trebuchet MS" w:hAnsi="Trebuchet MS" w:cs="Trebuchet MS"/>
        <w:color w:val="FF2C21"/>
        <w:position w:val="0"/>
        <w:u w:color="000000"/>
        <w:rtl w:val="0"/>
      </w:rPr>
    </w:lvl>
    <w:lvl w:ilvl="7">
      <w:start w:val="1"/>
      <w:numFmt w:val="bullet"/>
      <w:lvlText w:val="o"/>
      <w:lvlJc w:val="left"/>
      <w:rPr>
        <w:rFonts w:ascii="Trebuchet MS" w:eastAsia="Trebuchet MS" w:hAnsi="Trebuchet MS" w:cs="Trebuchet MS"/>
        <w:color w:val="FF2C21"/>
        <w:position w:val="0"/>
        <w:u w:color="000000"/>
        <w:rtl w:val="0"/>
      </w:rPr>
    </w:lvl>
    <w:lvl w:ilvl="8">
      <w:start w:val="1"/>
      <w:numFmt w:val="bullet"/>
      <w:lvlText w:val="▪"/>
      <w:lvlJc w:val="left"/>
      <w:rPr>
        <w:rFonts w:ascii="Trebuchet MS" w:eastAsia="Trebuchet MS" w:hAnsi="Trebuchet MS" w:cs="Trebuchet MS"/>
        <w:color w:val="FF2C21"/>
        <w:position w:val="0"/>
        <w:u w:color="000000"/>
        <w:rtl w:val="0"/>
      </w:rPr>
    </w:lvl>
  </w:abstractNum>
  <w:abstractNum w:abstractNumId="11" w15:restartNumberingAfterBreak="0">
    <w:nsid w:val="3213389F"/>
    <w:multiLevelType w:val="multilevel"/>
    <w:tmpl w:val="BDC4974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364C4BA8"/>
    <w:multiLevelType w:val="multilevel"/>
    <w:tmpl w:val="3E140258"/>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13" w15:restartNumberingAfterBreak="0">
    <w:nsid w:val="3F392124"/>
    <w:multiLevelType w:val="multilevel"/>
    <w:tmpl w:val="1E2005E4"/>
    <w:styleLink w:val="List41"/>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14" w15:restartNumberingAfterBreak="0">
    <w:nsid w:val="407920F8"/>
    <w:multiLevelType w:val="hybridMultilevel"/>
    <w:tmpl w:val="E9E4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F0315"/>
    <w:multiLevelType w:val="multilevel"/>
    <w:tmpl w:val="DC4876D8"/>
    <w:styleLink w:val="List31"/>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16" w15:restartNumberingAfterBreak="0">
    <w:nsid w:val="42660E94"/>
    <w:multiLevelType w:val="hybridMultilevel"/>
    <w:tmpl w:val="F5C8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26891"/>
    <w:multiLevelType w:val="multilevel"/>
    <w:tmpl w:val="914476FA"/>
    <w:styleLink w:val="List1"/>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18" w15:restartNumberingAfterBreak="0">
    <w:nsid w:val="4F4E37AC"/>
    <w:multiLevelType w:val="multilevel"/>
    <w:tmpl w:val="0A326E8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53AF3043"/>
    <w:multiLevelType w:val="multilevel"/>
    <w:tmpl w:val="8028F07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545F0F7F"/>
    <w:multiLevelType w:val="multilevel"/>
    <w:tmpl w:val="7E5C0B66"/>
    <w:styleLink w:val="List9"/>
    <w:lvl w:ilvl="0">
      <w:start w:val="1"/>
      <w:numFmt w:val="bullet"/>
      <w:lvlText w:val="•"/>
      <w:lvlJc w:val="left"/>
      <w:rPr>
        <w:color w:val="9CC2E5"/>
        <w:position w:val="0"/>
        <w:u w:color="9CC2E5"/>
      </w:rPr>
    </w:lvl>
    <w:lvl w:ilvl="1">
      <w:start w:val="1"/>
      <w:numFmt w:val="bullet"/>
      <w:lvlText w:val="o"/>
      <w:lvlJc w:val="left"/>
      <w:rPr>
        <w:color w:val="9CC2E5"/>
        <w:position w:val="0"/>
        <w:u w:color="9CC2E5"/>
      </w:rPr>
    </w:lvl>
    <w:lvl w:ilvl="2">
      <w:start w:val="1"/>
      <w:numFmt w:val="bullet"/>
      <w:lvlText w:val="▪"/>
      <w:lvlJc w:val="left"/>
      <w:rPr>
        <w:color w:val="9CC2E5"/>
        <w:position w:val="0"/>
        <w:u w:color="9CC2E5"/>
      </w:rPr>
    </w:lvl>
    <w:lvl w:ilvl="3">
      <w:start w:val="1"/>
      <w:numFmt w:val="bullet"/>
      <w:lvlText w:val="•"/>
      <w:lvlJc w:val="left"/>
      <w:rPr>
        <w:color w:val="9CC2E5"/>
        <w:position w:val="0"/>
        <w:u w:color="9CC2E5"/>
      </w:rPr>
    </w:lvl>
    <w:lvl w:ilvl="4">
      <w:start w:val="1"/>
      <w:numFmt w:val="bullet"/>
      <w:lvlText w:val="o"/>
      <w:lvlJc w:val="left"/>
      <w:rPr>
        <w:color w:val="9CC2E5"/>
        <w:position w:val="0"/>
        <w:u w:color="9CC2E5"/>
      </w:rPr>
    </w:lvl>
    <w:lvl w:ilvl="5">
      <w:start w:val="1"/>
      <w:numFmt w:val="bullet"/>
      <w:lvlText w:val="▪"/>
      <w:lvlJc w:val="left"/>
      <w:rPr>
        <w:color w:val="9CC2E5"/>
        <w:position w:val="0"/>
        <w:u w:color="9CC2E5"/>
      </w:rPr>
    </w:lvl>
    <w:lvl w:ilvl="6">
      <w:numFmt w:val="bullet"/>
      <w:lvlText w:val="•"/>
      <w:lvlJc w:val="left"/>
      <w:rPr>
        <w:color w:val="9CC2E5"/>
        <w:position w:val="0"/>
        <w:u w:color="9CC2E5"/>
      </w:rPr>
    </w:lvl>
    <w:lvl w:ilvl="7">
      <w:start w:val="1"/>
      <w:numFmt w:val="bullet"/>
      <w:lvlText w:val="o"/>
      <w:lvlJc w:val="left"/>
      <w:rPr>
        <w:color w:val="9CC2E5"/>
        <w:position w:val="0"/>
        <w:u w:color="9CC2E5"/>
      </w:rPr>
    </w:lvl>
    <w:lvl w:ilvl="8">
      <w:start w:val="1"/>
      <w:numFmt w:val="bullet"/>
      <w:lvlText w:val="▪"/>
      <w:lvlJc w:val="left"/>
      <w:rPr>
        <w:color w:val="9CC2E5"/>
        <w:position w:val="0"/>
        <w:u w:color="9CC2E5"/>
      </w:rPr>
    </w:lvl>
  </w:abstractNum>
  <w:abstractNum w:abstractNumId="21" w15:restartNumberingAfterBreak="0">
    <w:nsid w:val="5C057B66"/>
    <w:multiLevelType w:val="hybridMultilevel"/>
    <w:tmpl w:val="8082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2671D"/>
    <w:multiLevelType w:val="multilevel"/>
    <w:tmpl w:val="0CD6F062"/>
    <w:lvl w:ilvl="0">
      <w:start w:val="1"/>
      <w:numFmt w:val="bullet"/>
      <w:lvlText w:val="•"/>
      <w:lvlJc w:val="left"/>
      <w:rPr>
        <w:color w:val="9CC2E5"/>
        <w:position w:val="0"/>
        <w:u w:color="9CC2E5"/>
      </w:rPr>
    </w:lvl>
    <w:lvl w:ilvl="1">
      <w:start w:val="1"/>
      <w:numFmt w:val="bullet"/>
      <w:lvlText w:val="o"/>
      <w:lvlJc w:val="left"/>
      <w:rPr>
        <w:color w:val="9CC2E5"/>
        <w:position w:val="0"/>
        <w:u w:color="9CC2E5"/>
      </w:rPr>
    </w:lvl>
    <w:lvl w:ilvl="2">
      <w:start w:val="1"/>
      <w:numFmt w:val="bullet"/>
      <w:lvlText w:val="▪"/>
      <w:lvlJc w:val="left"/>
      <w:rPr>
        <w:color w:val="9CC2E5"/>
        <w:position w:val="0"/>
        <w:u w:color="9CC2E5"/>
      </w:rPr>
    </w:lvl>
    <w:lvl w:ilvl="3">
      <w:start w:val="1"/>
      <w:numFmt w:val="bullet"/>
      <w:lvlText w:val="•"/>
      <w:lvlJc w:val="left"/>
      <w:rPr>
        <w:color w:val="9CC2E5"/>
        <w:position w:val="0"/>
        <w:u w:color="9CC2E5"/>
      </w:rPr>
    </w:lvl>
    <w:lvl w:ilvl="4">
      <w:start w:val="1"/>
      <w:numFmt w:val="bullet"/>
      <w:lvlText w:val="o"/>
      <w:lvlJc w:val="left"/>
      <w:rPr>
        <w:color w:val="9CC2E5"/>
        <w:position w:val="0"/>
        <w:u w:color="9CC2E5"/>
      </w:rPr>
    </w:lvl>
    <w:lvl w:ilvl="5">
      <w:start w:val="1"/>
      <w:numFmt w:val="bullet"/>
      <w:lvlText w:val="▪"/>
      <w:lvlJc w:val="left"/>
      <w:rPr>
        <w:color w:val="9CC2E5"/>
        <w:position w:val="0"/>
        <w:u w:color="9CC2E5"/>
      </w:rPr>
    </w:lvl>
    <w:lvl w:ilvl="6">
      <w:start w:val="1"/>
      <w:numFmt w:val="bullet"/>
      <w:lvlText w:val="•"/>
      <w:lvlJc w:val="left"/>
      <w:rPr>
        <w:color w:val="9CC2E5"/>
        <w:position w:val="0"/>
        <w:u w:color="9CC2E5"/>
      </w:rPr>
    </w:lvl>
    <w:lvl w:ilvl="7">
      <w:start w:val="1"/>
      <w:numFmt w:val="bullet"/>
      <w:lvlText w:val="o"/>
      <w:lvlJc w:val="left"/>
      <w:rPr>
        <w:color w:val="9CC2E5"/>
        <w:position w:val="0"/>
        <w:u w:color="9CC2E5"/>
      </w:rPr>
    </w:lvl>
    <w:lvl w:ilvl="8">
      <w:start w:val="1"/>
      <w:numFmt w:val="bullet"/>
      <w:lvlText w:val="▪"/>
      <w:lvlJc w:val="left"/>
      <w:rPr>
        <w:color w:val="9CC2E5"/>
        <w:position w:val="0"/>
        <w:u w:color="9CC2E5"/>
      </w:rPr>
    </w:lvl>
  </w:abstractNum>
  <w:abstractNum w:abstractNumId="23" w15:restartNumberingAfterBreak="0">
    <w:nsid w:val="5E466EE2"/>
    <w:multiLevelType w:val="multilevel"/>
    <w:tmpl w:val="6634485A"/>
    <w:lvl w:ilvl="0">
      <w:start w:val="1"/>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24" w15:restartNumberingAfterBreak="0">
    <w:nsid w:val="60A72944"/>
    <w:multiLevelType w:val="multilevel"/>
    <w:tmpl w:val="C13A62C2"/>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25" w15:restartNumberingAfterBreak="0">
    <w:nsid w:val="60E73C36"/>
    <w:multiLevelType w:val="multilevel"/>
    <w:tmpl w:val="56FC7DF2"/>
    <w:styleLink w:val="List21"/>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26" w15:restartNumberingAfterBreak="0">
    <w:nsid w:val="63EA6451"/>
    <w:multiLevelType w:val="multilevel"/>
    <w:tmpl w:val="A426C0DA"/>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27" w15:restartNumberingAfterBreak="0">
    <w:nsid w:val="648C14CD"/>
    <w:multiLevelType w:val="multilevel"/>
    <w:tmpl w:val="4944362C"/>
    <w:styleLink w:val="List8"/>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28" w15:restartNumberingAfterBreak="0">
    <w:nsid w:val="68D044C6"/>
    <w:multiLevelType w:val="multilevel"/>
    <w:tmpl w:val="5B7AE5F4"/>
    <w:lvl w:ilvl="0">
      <w:start w:val="1"/>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29" w15:restartNumberingAfterBreak="0">
    <w:nsid w:val="6DB512CF"/>
    <w:multiLevelType w:val="multilevel"/>
    <w:tmpl w:val="82686F7E"/>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30" w15:restartNumberingAfterBreak="0">
    <w:nsid w:val="6EE0569E"/>
    <w:multiLevelType w:val="multilevel"/>
    <w:tmpl w:val="60203582"/>
    <w:lvl w:ilvl="0">
      <w:start w:val="1"/>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31" w15:restartNumberingAfterBreak="0">
    <w:nsid w:val="727B2F75"/>
    <w:multiLevelType w:val="multilevel"/>
    <w:tmpl w:val="99A25E3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7D8364F7"/>
    <w:multiLevelType w:val="multilevel"/>
    <w:tmpl w:val="6718A08C"/>
    <w:styleLink w:val="List7"/>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num w:numId="1">
    <w:abstractNumId w:val="28"/>
  </w:num>
  <w:num w:numId="2">
    <w:abstractNumId w:val="11"/>
  </w:num>
  <w:num w:numId="3">
    <w:abstractNumId w:val="0"/>
  </w:num>
  <w:num w:numId="4">
    <w:abstractNumId w:val="24"/>
  </w:num>
  <w:num w:numId="5">
    <w:abstractNumId w:val="4"/>
  </w:num>
  <w:num w:numId="6">
    <w:abstractNumId w:val="17"/>
  </w:num>
  <w:num w:numId="7">
    <w:abstractNumId w:val="29"/>
  </w:num>
  <w:num w:numId="8">
    <w:abstractNumId w:val="19"/>
  </w:num>
  <w:num w:numId="9">
    <w:abstractNumId w:val="25"/>
  </w:num>
  <w:num w:numId="10">
    <w:abstractNumId w:val="6"/>
  </w:num>
  <w:num w:numId="11">
    <w:abstractNumId w:val="18"/>
  </w:num>
  <w:num w:numId="12">
    <w:abstractNumId w:val="15"/>
  </w:num>
  <w:num w:numId="13">
    <w:abstractNumId w:val="30"/>
  </w:num>
  <w:num w:numId="14">
    <w:abstractNumId w:val="9"/>
  </w:num>
  <w:num w:numId="15">
    <w:abstractNumId w:val="13"/>
  </w:num>
  <w:num w:numId="16">
    <w:abstractNumId w:val="12"/>
  </w:num>
  <w:num w:numId="17">
    <w:abstractNumId w:val="8"/>
  </w:num>
  <w:num w:numId="18">
    <w:abstractNumId w:val="2"/>
  </w:num>
  <w:num w:numId="19">
    <w:abstractNumId w:val="3"/>
  </w:num>
  <w:num w:numId="20">
    <w:abstractNumId w:val="1"/>
  </w:num>
  <w:num w:numId="21">
    <w:abstractNumId w:val="10"/>
  </w:num>
  <w:num w:numId="22">
    <w:abstractNumId w:val="23"/>
  </w:num>
  <w:num w:numId="23">
    <w:abstractNumId w:val="7"/>
  </w:num>
  <w:num w:numId="24">
    <w:abstractNumId w:val="32"/>
  </w:num>
  <w:num w:numId="25">
    <w:abstractNumId w:val="26"/>
  </w:num>
  <w:num w:numId="26">
    <w:abstractNumId w:val="31"/>
  </w:num>
  <w:num w:numId="27">
    <w:abstractNumId w:val="27"/>
  </w:num>
  <w:num w:numId="28">
    <w:abstractNumId w:val="22"/>
  </w:num>
  <w:num w:numId="29">
    <w:abstractNumId w:val="20"/>
  </w:num>
  <w:num w:numId="30">
    <w:abstractNumId w:val="21"/>
  </w:num>
  <w:num w:numId="31">
    <w:abstractNumId w:val="5"/>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C3"/>
    <w:rsid w:val="002A743A"/>
    <w:rsid w:val="005235F1"/>
    <w:rsid w:val="005F27C7"/>
    <w:rsid w:val="006519C3"/>
    <w:rsid w:val="00681F26"/>
    <w:rsid w:val="006902F7"/>
    <w:rsid w:val="007D5ED9"/>
    <w:rsid w:val="00896548"/>
    <w:rsid w:val="00984EC1"/>
    <w:rsid w:val="00EA1561"/>
    <w:rsid w:val="00FB3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A4BEF"/>
  <w15:docId w15:val="{A2A7592A-D8BA-472E-BD32-664C7D71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numbering" w:customStyle="1" w:styleId="List6">
    <w:name w:val="List 6"/>
    <w:basedOn w:val="ImportedStyle7"/>
    <w:pPr>
      <w:numPr>
        <w:numId w:val="21"/>
      </w:numPr>
    </w:pPr>
  </w:style>
  <w:style w:type="numbering" w:customStyle="1" w:styleId="ImportedStyle7">
    <w:name w:val="Imported Style 7"/>
  </w:style>
  <w:style w:type="numbering" w:customStyle="1" w:styleId="List7">
    <w:name w:val="List 7"/>
    <w:basedOn w:val="ImportedStyle8"/>
    <w:pPr>
      <w:numPr>
        <w:numId w:val="24"/>
      </w:numPr>
    </w:pPr>
  </w:style>
  <w:style w:type="numbering" w:customStyle="1" w:styleId="ImportedStyle8">
    <w:name w:val="Imported Style 8"/>
  </w:style>
  <w:style w:type="numbering" w:customStyle="1" w:styleId="List8">
    <w:name w:val="List 8"/>
    <w:basedOn w:val="ImportedStyle9"/>
    <w:pPr>
      <w:numPr>
        <w:numId w:val="27"/>
      </w:numPr>
    </w:pPr>
  </w:style>
  <w:style w:type="numbering" w:customStyle="1" w:styleId="ImportedStyle9">
    <w:name w:val="Imported Style 9"/>
  </w:style>
  <w:style w:type="numbering" w:customStyle="1" w:styleId="List9">
    <w:name w:val="List 9"/>
    <w:basedOn w:val="ImportedStyle9"/>
    <w:pPr>
      <w:numPr>
        <w:numId w:val="29"/>
      </w:numPr>
    </w:pPr>
  </w:style>
  <w:style w:type="paragraph" w:customStyle="1" w:styleId="Default">
    <w:name w:val="Default"/>
    <w:rsid w:val="007D5ED9"/>
    <w:pPr>
      <w:widowControl w:val="0"/>
      <w:suppressAutoHyphens/>
    </w:pPr>
    <w:rPr>
      <w:rFonts w:hAnsi="Arial Unicode MS" w:cs="Arial Unicode MS"/>
      <w:color w:val="000000"/>
      <w:kern w:val="1"/>
      <w:sz w:val="24"/>
      <w:szCs w:val="24"/>
      <w:u w:color="000000"/>
      <w:lang w:val="en-US"/>
    </w:rPr>
  </w:style>
  <w:style w:type="paragraph" w:styleId="Header">
    <w:name w:val="header"/>
    <w:basedOn w:val="Normal"/>
    <w:link w:val="HeaderChar"/>
    <w:uiPriority w:val="99"/>
    <w:unhideWhenUsed/>
    <w:rsid w:val="007D5ED9"/>
    <w:pPr>
      <w:tabs>
        <w:tab w:val="center" w:pos="4513"/>
        <w:tab w:val="right" w:pos="9026"/>
      </w:tabs>
    </w:pPr>
  </w:style>
  <w:style w:type="character" w:customStyle="1" w:styleId="HeaderChar">
    <w:name w:val="Header Char"/>
    <w:basedOn w:val="DefaultParagraphFont"/>
    <w:link w:val="Header"/>
    <w:uiPriority w:val="99"/>
    <w:rsid w:val="007D5ED9"/>
    <w:rPr>
      <w:sz w:val="24"/>
      <w:szCs w:val="24"/>
      <w:lang w:val="en-US" w:eastAsia="en-US"/>
    </w:rPr>
  </w:style>
  <w:style w:type="paragraph" w:styleId="Footer">
    <w:name w:val="footer"/>
    <w:basedOn w:val="Normal"/>
    <w:link w:val="FooterChar"/>
    <w:uiPriority w:val="99"/>
    <w:unhideWhenUsed/>
    <w:rsid w:val="007D5ED9"/>
    <w:pPr>
      <w:tabs>
        <w:tab w:val="center" w:pos="4513"/>
        <w:tab w:val="right" w:pos="9026"/>
      </w:tabs>
    </w:pPr>
  </w:style>
  <w:style w:type="character" w:customStyle="1" w:styleId="FooterChar">
    <w:name w:val="Footer Char"/>
    <w:basedOn w:val="DefaultParagraphFont"/>
    <w:link w:val="Footer"/>
    <w:uiPriority w:val="99"/>
    <w:rsid w:val="007D5ED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2F3B6-DA50-4CDD-AAF5-4420BBE4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Huw</dc:creator>
  <cp:lastModifiedBy>Huw</cp:lastModifiedBy>
  <cp:revision>3</cp:revision>
  <dcterms:created xsi:type="dcterms:W3CDTF">2020-07-28T14:13:00Z</dcterms:created>
  <dcterms:modified xsi:type="dcterms:W3CDTF">2020-07-29T10:33:00Z</dcterms:modified>
</cp:coreProperties>
</file>